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25"/>
    <w:p>
      <w:pPr>
        <w:pStyle w:val="Heading1"/>
      </w:pPr>
      <w:r>
        <w:t xml:space="preserve">Homiletics Analysis: Numbers 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25 records the catastrophic spiritual and moral collapse of Israel at Shittim, on the plains of Moab, immediately before the conquest of Canaan. The chapter unfolds in two movements. In the first (vv. 1–5), Israelite men begin committing sexual immorality with Moabite women, are then drawn into the worship of Baal of Peor, and the LORD’s anger burns against Israel. Moses is commanded to execute the leaders of the people; a plague breaks out. In the second movement (vv. 6–15), a dramatic escalation occurs: in full view of Moses and the weeping congregation, an Israelite man — identified in v. 14 as Zimri son of Salu, a leader of a Simeonite clan — brazenly brings a Midianite woman named Cozbi into the camp. Phinehas son of Eleazar son of Aaron sees this, takes a spear, follows them into the tent, and drives the spear through both of them. The plague stops. Twenty-four thousand have died. The LORD then speaks, declaring that Phinehas has turned back His wrath by his zeal, and grants him a covenant of peace and a perpetual priesthood (vv. 10–13). The chapter closes (vv. 16–18) with a divine command to treat the Midianites as enemies because of their role in the Peor seduction.</w:t>
      </w:r>
    </w:p>
    <w:p>
      <w:pPr>
        <w:pStyle w:val="BodyText"/>
      </w:pPr>
      <w:r>
        <w:t xml:space="preserve">The movement of the chapter is: seduction → idolatry → judgment → escalation → intervention → atonement → covenant. The structural heart is Phinehas’s act: it is the event the entire chapter pivots on, and the divine response to it carries the theological freight.</w:t>
      </w:r>
    </w:p>
    <w:p>
      <w:pPr>
        <w:pStyle w:val="BodyText"/>
      </w:pPr>
      <w:r>
        <w:rPr>
          <w:b/>
          <w:bCs/>
        </w:rPr>
        <w:t xml:space="preserve">This Text — Intent</w:t>
      </w:r>
    </w:p>
    <w:p>
      <w:pPr>
        <w:pStyle w:val="BodyText"/>
      </w:pPr>
      <w:r>
        <w:t xml:space="preserve">God is seeking through this passage to establish the lethal seriousness of syncretism and spiritual compromise at the threshold of the promised land — and to set before Israel (and the reader) a vivid picture of what zeal for God’s honor looks like when everyone else is paralyzed. The intent is not merely to document Israel’s failure but to press the question on the reader:</w:t>
      </w:r>
      <w:r>
        <w:t xml:space="preserve"> </w:t>
      </w:r>
      <w:r>
        <w:rPr>
          <w:i/>
          <w:iCs/>
        </w:rPr>
        <w:t xml:space="preserve">What does it look like to take God’s holiness seriously enough to act when all others are weeping and doing nothing?</w:t>
      </w:r>
      <w:r>
        <w:t xml:space="preserve"> </w:t>
      </w:r>
      <w:r>
        <w:t xml:space="preserve">God is also making a claim about the kind of leadership He honors — not positional authority (the leaders were being executed; Moses was weeping at the tent door) but the kind that moves with God’s own jealousy toward His glory and His people’s wellbeing. The covenant with Phinehas is not incidental reward — it is God’s signature endorsement of zeal that costs something.</w:t>
      </w:r>
    </w:p>
    <w:p>
      <w:r>
        <w:pict>
          <v:rect style="width:0;height:1.5pt" o:hralign="center" o:hrstd="t" o:hr="t"/>
        </w:pict>
      </w:r>
    </w:p>
    <w:p>
      <w:pPr>
        <w:pStyle w:val="FirstParagraph"/>
      </w:pPr>
      <w:r>
        <w:rPr>
          <w:b/>
          <w:bCs/>
        </w:rPr>
        <w:t xml:space="preserve">Subject Sentence:</w:t>
      </w:r>
      <w:r>
        <w:t xml:space="preserve"> </w:t>
      </w:r>
      <w:r>
        <w:t xml:space="preserve">Israel’s covenant faithfulness collapses at the border of the promised land, and God honors the one who acts with His own zeal.</w:t>
      </w:r>
    </w:p>
    <w:p>
      <w:r>
        <w:pict>
          <v:rect style="width:0;height:1.5pt" o:hralign="center" o:hrstd="t" o:hr="t"/>
        </w:pict>
      </w:r>
    </w:p>
    <w:p>
      <w:pPr>
        <w:pStyle w:val="FirstParagraph"/>
      </w:pPr>
      <w:r>
        <w:rPr>
          <w:b/>
          <w:bCs/>
        </w:rPr>
        <w:t xml:space="preserve">Primary Claim:</w:t>
      </w:r>
      <w:r>
        <w:t xml:space="preserve"> </w:t>
      </w:r>
      <w:r>
        <w:t xml:space="preserve">When God’s people are seduced into idolatry and stand paralyzed at the threshold of what He has promised them, God calls for — and honors — the zeal that takes His holiness seriously enough to act at personal cost.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Phinehas’s act: vigilante violence or covenantal zeal?</w:t>
      </w:r>
    </w:p>
    <w:p>
      <w:pPr>
        <w:pStyle w:val="BodyText"/>
      </w:pPr>
      <w:r>
        <w:t xml:space="preserve">The most significant interpretive challenge in Numbers 25 is the act of Phinehas itself. Modern readers — and many contemporary expositors — struggle with a violent act being not only approved but rewarded with a permanent covenant. Several evangelical traditions have handled this awkwardly, either minimizing the act (treating it merely as an inspiring story of courage, while quietly bracketing the killing), or over-spiritualizing it into a metaphor for decisiveness. Neither response is honest with the text.</w:t>
      </w:r>
    </w:p>
    <w:p>
      <w:pPr>
        <w:pStyle w:val="BodyText"/>
      </w:pPr>
      <w:r>
        <w:t xml:space="preserve">The Reformed reading insists on taking both sides of the equation seriously: the act was violent and was sanctioned. The key is the theological category the text itself invokes —</w:t>
      </w:r>
      <w:r>
        <w:t xml:space="preserve"> </w:t>
      </w:r>
      <w:r>
        <w:rPr>
          <w:i/>
          <w:iCs/>
        </w:rPr>
        <w:t xml:space="preserve">qin’ah</w:t>
      </w:r>
      <w:r>
        <w:t xml:space="preserve">, zeal or jealousy (v. 11, v. 13), which is explicitly used of God’s own jealousy for His covenant. Phinehas’s act is not personal anger or ethnic hostility — the text is precise: he acted with the jealousy with which God is jealous. This is a covenantal, priestly act, not a vigilante one. It was fitting to his office (as a descendant of Aaron, the high priest family), it was performed in the context of a plague that was already judicial (God’s hand already at work), and it was directed at a specific covenantal violation performed publicly and provocatively. The act does not establish a general principle of religious violence; it is a unique covenantal intervention within a unique theocratic frame.</w:t>
      </w:r>
    </w:p>
    <w:p>
      <w:pPr>
        <w:pStyle w:val="BodyText"/>
      </w:pPr>
      <w:r>
        <w:rPr>
          <w:b/>
          <w:bCs/>
        </w:rPr>
        <w:t xml:space="preserve">Qualification of Dispensational readings</w:t>
      </w:r>
      <w:r>
        <w:t xml:space="preserve">:</w:t>
      </w:r>
    </w:p>
    <w:p>
      <w:pPr>
        <w:pStyle w:val="BodyText"/>
      </w:pPr>
      <w:r>
        <w:t xml:space="preserve">Some dispensational interpreters read the Phinehas narrative primarily as a prophetic type — pointing to a future zealous priestly figure or to the Levitical covenant as a distinct administrative arrangement with Israel. The typological dimension is real (Phinehas does anticipate the priestly mediator who turns away wrath by a decisive act), and the covenant of peace in vv. 12–13 is genuinely significant covenantally. However, dispensational frameworks that confine the application to Israel or to a future period miss the passage’s direct moral and spiritual force for the covenant community now. The Reformed reading retains the typological dimension while insisting on its present applicational force.</w:t>
      </w:r>
    </w:p>
    <w:p>
      <w:pPr>
        <w:pStyle w:val="BodyText"/>
      </w:pPr>
      <w:r>
        <w:rPr>
          <w:b/>
          <w:bCs/>
        </w:rPr>
        <w:t xml:space="preserve">Acknowledgment of Wesleyan/Arminian readings</w:t>
      </w:r>
      <w:r>
        <w:t xml:space="preserve">:</w:t>
      </w:r>
    </w:p>
    <w:p>
      <w:pPr>
        <w:pStyle w:val="BodyText"/>
      </w:pPr>
      <w:r>
        <w:t xml:space="preserve">Wesleyan expositors sometimes read this passage primarily through the lens of sanctification and purity — the call to complete holiness as a condition of covenant blessing. There is genuine insight here: the contrast between Israel’s compromise and Phinehas’s wholehearted action does address the question of entire consecration. However, the Wesleyan frame can allow the focus to shift from God’s jealousy for His own glory to the believer’s pursuit of personal holiness — a subtle but important difference. The text’s weight falls on what God is doing and what He honors, not primarily on what the believer must achieve.</w:t>
      </w:r>
    </w:p>
    <w:p>
      <w:pPr>
        <w:pStyle w:val="BodyText"/>
      </w:pPr>
      <w:r>
        <w:rPr>
          <w:b/>
          <w:bCs/>
        </w:rPr>
        <w:t xml:space="preserve">The Reformed verdict</w:t>
      </w:r>
      <w:r>
        <w:t xml:space="preserve">:</w:t>
      </w:r>
    </w:p>
    <w:p>
      <w:pPr>
        <w:pStyle w:val="BodyText"/>
      </w:pPr>
      <w:r>
        <w:t xml:space="preserve">The Reformed reading holds the following: (1) Phinehas’s act is presented as covenantally faithful and priestly, not as a general model for religious violence; (2) the theological category governing the narrative is divine jealousy — God’s intolerance of rivals to His covenant — and Phinehas embodies it precisely; (3) the covenant of peace granted to Phinehas is not merely individual reward but functions as a typological and redemptive-historical marker pointing toward a priestly mediator whose zeal for God’s house and people exhausts divine wrath entirely; (4) the application for the covenant community is not violence but the kind of decisive, costly, counter-cultural faithfulness that refuses to stand by while God’s honor is openly mocked.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106:28–31</w:t>
      </w:r>
      <w:r>
        <w:t xml:space="preserve"> </w:t>
      </w:r>
      <w:r>
        <w:t xml:space="preserve">— Directly recounts the Peor incident and cites Phinehas’s act as</w:t>
      </w:r>
      <w:r>
        <w:t xml:space="preserve"> </w:t>
      </w:r>
      <w:r>
        <w:t xml:space="preserve">“counted to him as righteousness for all generations”</w:t>
      </w:r>
      <w:r>
        <w:t xml:space="preserve"> </w:t>
      </w:r>
      <w:r>
        <w:t xml:space="preserve">— placing Phinehas’s zeal in the category of faith-credited righteousness (parallel to Abraham in Genesis 15), establishing that his act was not works-based merit but covenant faithfulness expressing genuine trust in God’s character.</w:t>
      </w:r>
    </w:p>
    <w:p>
      <w:pPr>
        <w:numPr>
          <w:ilvl w:val="0"/>
          <w:numId w:val="1001"/>
        </w:numPr>
      </w:pPr>
      <w:r>
        <w:rPr>
          <w:b/>
          <w:bCs/>
        </w:rPr>
        <w:t xml:space="preserve">Deuteronomy 4:3–4</w:t>
      </w:r>
      <w:r>
        <w:t xml:space="preserve"> </w:t>
      </w:r>
      <w:r>
        <w:t xml:space="preserve">— Moses rehearses the Peor apostasy in his covenant address to the next generation:</w:t>
      </w:r>
      <w:r>
        <w:t xml:space="preserve"> </w:t>
      </w:r>
      <w:r>
        <w:t xml:space="preserve">“your eyes have seen what the LORD did at Baal-Peor… but you who held fast to the LORD your God are all alive today.”</w:t>
      </w:r>
      <w:r>
        <w:t xml:space="preserve"> </w:t>
      </w:r>
      <w:r>
        <w:t xml:space="preserve">The passage functions as a covenant warning: holding fast to the LORD is life; following Baal is death.</w:t>
      </w:r>
    </w:p>
    <w:p>
      <w:pPr>
        <w:numPr>
          <w:ilvl w:val="0"/>
          <w:numId w:val="1001"/>
        </w:numPr>
      </w:pPr>
      <w:r>
        <w:rPr>
          <w:b/>
          <w:bCs/>
        </w:rPr>
        <w:t xml:space="preserve">1 Corinthians 10:6–8</w:t>
      </w:r>
      <w:r>
        <w:t xml:space="preserve"> </w:t>
      </w:r>
      <w:r>
        <w:t xml:space="preserve">— Paul explicitly cites the Peor incident as a warning for the New Covenant church:</w:t>
      </w:r>
      <w:r>
        <w:t xml:space="preserve"> </w:t>
      </w:r>
      <w:r>
        <w:t xml:space="preserve">“we must not indulge in sexual immorality as some of them did, and twenty-three thousand fell in a single day.”</w:t>
      </w:r>
      <w:r>
        <w:t xml:space="preserve"> </w:t>
      </w:r>
      <w:r>
        <w:t xml:space="preserve">The event is treated as a direct paradigm for the danger of idolatry and sexual sin in the church, confirming that the passage’s intent is not merely historical.</w:t>
      </w:r>
    </w:p>
    <w:p>
      <w:pPr>
        <w:numPr>
          <w:ilvl w:val="0"/>
          <w:numId w:val="1001"/>
        </w:numPr>
      </w:pPr>
      <w:r>
        <w:rPr>
          <w:b/>
          <w:bCs/>
        </w:rPr>
        <w:t xml:space="preserve">John 2:13–17</w:t>
      </w:r>
      <w:r>
        <w:t xml:space="preserve"> </w:t>
      </w:r>
      <w:r>
        <w:t xml:space="preserve">— Jesus’s cleansing of the temple is described by the disciples through the lens of Psalm 69:9 (</w:t>
      </w:r>
      <w:r>
        <w:t xml:space="preserve">“zeal for your house will consume me”</w:t>
      </w:r>
      <w:r>
        <w:t xml:space="preserve">), placing Jesus in the Phinehas typological line — the one whose jealousy for the Father’s honor leads to decisive, costly action in a context of widespread compromise.</w:t>
      </w:r>
    </w:p>
    <w:p>
      <w:pPr>
        <w:numPr>
          <w:ilvl w:val="0"/>
          <w:numId w:val="1001"/>
        </w:numPr>
      </w:pPr>
      <w:r>
        <w:rPr>
          <w:b/>
          <w:bCs/>
        </w:rPr>
        <w:t xml:space="preserve">Revelation 2:14</w:t>
      </w:r>
      <w:r>
        <w:t xml:space="preserve"> </w:t>
      </w:r>
      <w:r>
        <w:t xml:space="preserve">— Christ’s letter to Pergamum explicitly names Balaam’s teaching, which led Israel to eat food sacrificed to idols and to commit sexual immorality, as the error threatening the church — confirming that the Peor seduction pattern is an enduring covenantal danger, not a dated Israelite failure.</w:t>
      </w:r>
    </w:p>
    <w:p>
      <w:r>
        <w:pict>
          <v:rect style="width:0;height:1.5pt" o:hralign="center" o:hrstd="t" o:hr="t"/>
        </w:pict>
      </w:r>
    </w:p>
    <w:p>
      <w:pPr>
        <w:pStyle w:val="FirstParagraph"/>
      </w:pPr>
      <w:r>
        <w:rPr>
          <w:b/>
          <w:bCs/>
        </w:rPr>
        <w:t xml:space="preserve">Aim:</w:t>
      </w:r>
      <w:r>
        <w:t xml:space="preserve"> </w:t>
      </w:r>
      <w:r>
        <w:t xml:space="preserve">To press the reader toward honest self-examination about whether their zeal for God’s honor is operational — not merely confessional — at the precise moment when compromise is easiest, most visible, and most costly to resist.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Israel at Shittim; men begin sexual immorality with Moabite women</w:t>
            </w:r>
          </w:p>
        </w:tc>
        <w:tc>
          <w:tcPr/>
          <w:p>
            <w:pPr>
              <w:pStyle w:val="Compact"/>
            </w:pPr>
            <w:r>
              <w:t xml:space="preserve">Shittim = last camp before Canaan; the apostasy begins at the border</w:t>
            </w:r>
          </w:p>
        </w:tc>
      </w:tr>
      <w:tr>
        <w:tc>
          <w:tcPr/>
          <w:p>
            <w:pPr>
              <w:pStyle w:val="Compact"/>
            </w:pPr>
            <w:r>
              <w:t xml:space="preserve">2</w:t>
            </w:r>
          </w:p>
        </w:tc>
        <w:tc>
          <w:tcPr/>
          <w:p>
            <w:pPr>
              <w:pStyle w:val="Compact"/>
            </w:pPr>
            <w:r>
              <w:t xml:space="preserve">Moabite women invite Israel to their sacrifices; Israel eats and bows to their gods</w:t>
            </w:r>
          </w:p>
        </w:tc>
        <w:tc>
          <w:tcPr/>
          <w:p>
            <w:pPr>
              <w:pStyle w:val="Compact"/>
            </w:pPr>
            <w:r>
              <w:t xml:space="preserve">The seduction moves from sexual to religious; a pattern, not an accident</w:t>
            </w:r>
          </w:p>
        </w:tc>
      </w:tr>
      <w:tr>
        <w:tc>
          <w:tcPr/>
          <w:p>
            <w:pPr>
              <w:pStyle w:val="Compact"/>
            </w:pPr>
            <w:r>
              <w:t xml:space="preserve">3</w:t>
            </w:r>
          </w:p>
        </w:tc>
        <w:tc>
          <w:tcPr/>
          <w:p>
            <w:pPr>
              <w:pStyle w:val="Compact"/>
            </w:pPr>
            <w:r>
              <w:t xml:space="preserve">Israel</w:t>
            </w:r>
            <w:r>
              <w:t xml:space="preserve"> </w:t>
            </w:r>
            <w:r>
              <w:t xml:space="preserve">“yoked”</w:t>
            </w:r>
            <w:r>
              <w:t xml:space="preserve"> </w:t>
            </w:r>
            <w:r>
              <w:t xml:space="preserve">to Baal of Peor; LORD’s anger burns</w:t>
            </w:r>
          </w:p>
        </w:tc>
        <w:tc>
          <w:tcPr/>
          <w:p>
            <w:pPr>
              <w:pStyle w:val="Compact"/>
            </w:pPr>
            <w:r>
              <w:t xml:space="preserve">“Yoked”</w:t>
            </w:r>
            <w:r>
              <w:t xml:space="preserve"> </w:t>
            </w:r>
            <w:r>
              <w:t xml:space="preserve">(ṣāmad) — a binding, covenant-like attachment to a false god</w:t>
            </w:r>
          </w:p>
        </w:tc>
      </w:tr>
      <w:tr>
        <w:tc>
          <w:tcPr/>
          <w:p>
            <w:pPr>
              <w:pStyle w:val="Compact"/>
            </w:pPr>
            <w:r>
              <w:t xml:space="preserve">4</w:t>
            </w:r>
          </w:p>
        </w:tc>
        <w:tc>
          <w:tcPr/>
          <w:p>
            <w:pPr>
              <w:pStyle w:val="Compact"/>
            </w:pPr>
            <w:r>
              <w:t xml:space="preserve">LORD commands Moses: take all the chiefs of the people, execute them before the LORD, turn away wrath</w:t>
            </w:r>
          </w:p>
        </w:tc>
        <w:tc>
          <w:tcPr/>
          <w:p>
            <w:pPr>
              <w:pStyle w:val="Compact"/>
            </w:pPr>
            <w:r>
              <w:t xml:space="preserve">Communal leaders bear communal responsibility; judgment is public</w:t>
            </w:r>
          </w:p>
        </w:tc>
      </w:tr>
      <w:tr>
        <w:tc>
          <w:tcPr/>
          <w:p>
            <w:pPr>
              <w:pStyle w:val="Compact"/>
            </w:pPr>
            <w:r>
              <w:t xml:space="preserve">5</w:t>
            </w:r>
          </w:p>
        </w:tc>
        <w:tc>
          <w:tcPr/>
          <w:p>
            <w:pPr>
              <w:pStyle w:val="Compact"/>
            </w:pPr>
            <w:r>
              <w:t xml:space="preserve">Moses commands the judges to kill each man who has yoked himself to Baal</w:t>
            </w:r>
          </w:p>
        </w:tc>
        <w:tc>
          <w:tcPr/>
          <w:p>
            <w:pPr>
              <w:pStyle w:val="Compact"/>
            </w:pPr>
            <w:r>
              <w:t xml:space="preserve">The judicial response moves from leadership to individual accountability</w:t>
            </w:r>
          </w:p>
        </w:tc>
      </w:tr>
      <w:tr>
        <w:tc>
          <w:tcPr/>
          <w:p>
            <w:pPr>
              <w:pStyle w:val="Compact"/>
            </w:pPr>
            <w:r>
              <w:t xml:space="preserve">6</w:t>
            </w:r>
          </w:p>
        </w:tc>
        <w:tc>
          <w:tcPr/>
          <w:p>
            <w:pPr>
              <w:pStyle w:val="Compact"/>
            </w:pPr>
            <w:r>
              <w:t xml:space="preserve">An Israelite man brings a Midianite woman openly to his family, in sight of Moses and the congregation weeping at the tent of meeting</w:t>
            </w:r>
          </w:p>
        </w:tc>
        <w:tc>
          <w:tcPr/>
          <w:p>
            <w:pPr>
              <w:pStyle w:val="Compact"/>
            </w:pPr>
            <w:r>
              <w:t xml:space="preserve">Maximum provocation — public, shameless, in the very place of grief and intercession</w:t>
            </w:r>
          </w:p>
        </w:tc>
      </w:tr>
      <w:tr>
        <w:tc>
          <w:tcPr/>
          <w:p>
            <w:pPr>
              <w:pStyle w:val="Compact"/>
            </w:pPr>
            <w:r>
              <w:t xml:space="preserve">7–8</w:t>
            </w:r>
          </w:p>
        </w:tc>
        <w:tc>
          <w:tcPr/>
          <w:p>
            <w:pPr>
              <w:pStyle w:val="Compact"/>
            </w:pPr>
            <w:r>
              <w:t xml:space="preserve">Phinehas takes a spear, follows them into the tent, drives it through both of them; the plague stops</w:t>
            </w:r>
          </w:p>
        </w:tc>
        <w:tc>
          <w:tcPr/>
          <w:p>
            <w:pPr>
              <w:pStyle w:val="Compact"/>
            </w:pPr>
            <w:r>
              <w:t xml:space="preserve">The act is immediate, costly, decisive; the plague cessation is the divine verdict</w:t>
            </w:r>
          </w:p>
        </w:tc>
      </w:tr>
      <w:tr>
        <w:tc>
          <w:tcPr/>
          <w:p>
            <w:pPr>
              <w:pStyle w:val="Compact"/>
            </w:pPr>
            <w:r>
              <w:t xml:space="preserve">9</w:t>
            </w:r>
          </w:p>
        </w:tc>
        <w:tc>
          <w:tcPr/>
          <w:p>
            <w:pPr>
              <w:pStyle w:val="Compact"/>
            </w:pPr>
            <w:r>
              <w:t xml:space="preserve">Death toll: 24,000</w:t>
            </w:r>
          </w:p>
        </w:tc>
        <w:tc>
          <w:tcPr/>
          <w:p>
            <w:pPr>
              <w:pStyle w:val="Compact"/>
            </w:pPr>
            <w:r>
              <w:t xml:space="preserve">Numbers in context; 1 Cor 10:8 says 23,000</w:t>
            </w:r>
            <w:r>
              <w:t xml:space="preserve"> </w:t>
            </w:r>
            <w:r>
              <w:t xml:space="preserve">“in a single day”</w:t>
            </w:r>
            <w:r>
              <w:t xml:space="preserve"> </w:t>
            </w:r>
            <w:r>
              <w:t xml:space="preserve">— harmonizable as different counting frames</w:t>
            </w:r>
          </w:p>
        </w:tc>
      </w:tr>
      <w:tr>
        <w:tc>
          <w:tcPr/>
          <w:p>
            <w:pPr>
              <w:pStyle w:val="Compact"/>
            </w:pPr>
            <w:r>
              <w:t xml:space="preserve">10–11</w:t>
            </w:r>
          </w:p>
        </w:tc>
        <w:tc>
          <w:tcPr/>
          <w:p>
            <w:pPr>
              <w:pStyle w:val="Compact"/>
            </w:pPr>
            <w:r>
              <w:t xml:space="preserve">LORD speaks to Moses: Phinehas has turned back my wrath by being jealous with my jealousy (qin’ah) among Israel</w:t>
            </w:r>
          </w:p>
        </w:tc>
        <w:tc>
          <w:tcPr/>
          <w:p>
            <w:pPr>
              <w:pStyle w:val="Compact"/>
            </w:pPr>
            <w:r>
              <w:t xml:space="preserve">The theological verdict: Phinehas did not act for himself — he acted with God’s own jealousy</w:t>
            </w:r>
          </w:p>
        </w:tc>
      </w:tr>
      <w:tr>
        <w:tc>
          <w:tcPr/>
          <w:p>
            <w:pPr>
              <w:pStyle w:val="Compact"/>
            </w:pPr>
            <w:r>
              <w:t xml:space="preserve">12–13</w:t>
            </w:r>
          </w:p>
        </w:tc>
        <w:tc>
          <w:tcPr/>
          <w:p>
            <w:pPr>
              <w:pStyle w:val="Compact"/>
            </w:pPr>
            <w:r>
              <w:t xml:space="preserve">God grants Phinehas a</w:t>
            </w:r>
            <w:r>
              <w:t xml:space="preserve"> </w:t>
            </w:r>
            <w:r>
              <w:t xml:space="preserve">“covenant of peace”</w:t>
            </w:r>
            <w:r>
              <w:t xml:space="preserve"> </w:t>
            </w:r>
            <w:r>
              <w:t xml:space="preserve">and a</w:t>
            </w:r>
            <w:r>
              <w:t xml:space="preserve"> </w:t>
            </w:r>
            <w:r>
              <w:t xml:space="preserve">“covenant of perpetual priesthood”</w:t>
            </w:r>
            <w:r>
              <w:t xml:space="preserve"> </w:t>
            </w:r>
            <w:r>
              <w:t xml:space="preserve">— because his zeal made atonement for Israel</w:t>
            </w:r>
          </w:p>
        </w:tc>
        <w:tc>
          <w:tcPr/>
          <w:p>
            <w:pPr>
              <w:pStyle w:val="Compact"/>
            </w:pPr>
            <w:r>
              <w:t xml:space="preserve">“Atonement”</w:t>
            </w:r>
            <w:r>
              <w:t xml:space="preserve"> </w:t>
            </w:r>
            <w:r>
              <w:t xml:space="preserve">— kāpar — priestly atoning function; the covenant is grounded in his mediatorial act</w:t>
            </w:r>
          </w:p>
        </w:tc>
      </w:tr>
      <w:tr>
        <w:tc>
          <w:tcPr/>
          <w:p>
            <w:pPr>
              <w:pStyle w:val="Compact"/>
            </w:pPr>
            <w:r>
              <w:t xml:space="preserve">14–15</w:t>
            </w:r>
          </w:p>
        </w:tc>
        <w:tc>
          <w:tcPr/>
          <w:p>
            <w:pPr>
              <w:pStyle w:val="Compact"/>
            </w:pPr>
            <w:r>
              <w:t xml:space="preserve">Names given: Zimri son of Salu (Simeon); Cozbi daughter of Zur (Midianite leader)</w:t>
            </w:r>
          </w:p>
        </w:tc>
        <w:tc>
          <w:tcPr/>
          <w:p>
            <w:pPr>
              <w:pStyle w:val="Compact"/>
            </w:pPr>
            <w:r>
              <w:t xml:space="preserve">The naming is significant — these are not anonymous figures; accountability is specific and named</w:t>
            </w:r>
          </w:p>
        </w:tc>
      </w:tr>
      <w:tr>
        <w:tc>
          <w:tcPr/>
          <w:p>
            <w:pPr>
              <w:pStyle w:val="Compact"/>
            </w:pPr>
            <w:r>
              <w:t xml:space="preserve">16–18</w:t>
            </w:r>
          </w:p>
        </w:tc>
        <w:tc>
          <w:tcPr/>
          <w:p>
            <w:pPr>
              <w:pStyle w:val="Compact"/>
            </w:pPr>
            <w:r>
              <w:t xml:space="preserve">LORD commands hostility toward Midian; they</w:t>
            </w:r>
            <w:r>
              <w:t xml:space="preserve"> </w:t>
            </w:r>
            <w:r>
              <w:t xml:space="preserve">“harassed”</w:t>
            </w:r>
            <w:r>
              <w:t xml:space="preserve"> </w:t>
            </w:r>
            <w:r>
              <w:t xml:space="preserve">(ṣārar) Israel with their deception at Peor and with Cozbi</w:t>
            </w:r>
          </w:p>
        </w:tc>
        <w:tc>
          <w:tcPr/>
          <w:p>
            <w:pPr>
              <w:pStyle w:val="Compact"/>
            </w:pPr>
            <w:r>
              <w:t xml:space="preserve">The Midianite culpability is distinct from (and more severe than) Moab’s; cf. Balaam’s counsel behind the scenes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Seduction: Israel Yoked to Baal at the Border</w:t>
            </w:r>
          </w:p>
        </w:tc>
      </w:tr>
      <w:tr>
        <w:tc>
          <w:tcPr/>
          <w:p>
            <w:pPr>
              <w:pStyle w:val="Compact"/>
            </w:pPr>
            <w:r>
              <w:t xml:space="preserve">2</w:t>
            </w:r>
          </w:p>
        </w:tc>
        <w:tc>
          <w:tcPr/>
          <w:p>
            <w:pPr>
              <w:pStyle w:val="Compact"/>
            </w:pPr>
            <w:r>
              <w:t xml:space="preserve">6–9</w:t>
            </w:r>
          </w:p>
        </w:tc>
        <w:tc>
          <w:tcPr/>
          <w:p>
            <w:pPr>
              <w:pStyle w:val="Compact"/>
            </w:pPr>
            <w:r>
              <w:t xml:space="preserve">The Escalation: Brazen Defiance in the Face of Judgment</w:t>
            </w:r>
          </w:p>
        </w:tc>
      </w:tr>
      <w:tr>
        <w:tc>
          <w:tcPr/>
          <w:p>
            <w:pPr>
              <w:pStyle w:val="Compact"/>
            </w:pPr>
            <w:r>
              <w:t xml:space="preserve">3</w:t>
            </w:r>
          </w:p>
        </w:tc>
        <w:tc>
          <w:tcPr/>
          <w:p>
            <w:pPr>
              <w:pStyle w:val="Compact"/>
            </w:pPr>
            <w:r>
              <w:t xml:space="preserve">10–13</w:t>
            </w:r>
          </w:p>
        </w:tc>
        <w:tc>
          <w:tcPr/>
          <w:p>
            <w:pPr>
              <w:pStyle w:val="Compact"/>
            </w:pPr>
            <w:r>
              <w:t xml:space="preserve">The Verdict: Phinehas Honored with the Covenant of Peace</w:t>
            </w:r>
          </w:p>
        </w:tc>
      </w:tr>
      <w:tr>
        <w:tc>
          <w:tcPr/>
          <w:p>
            <w:pPr>
              <w:pStyle w:val="Compact"/>
            </w:pPr>
            <w:r>
              <w:t xml:space="preserve">4</w:t>
            </w:r>
          </w:p>
        </w:tc>
        <w:tc>
          <w:tcPr/>
          <w:p>
            <w:pPr>
              <w:pStyle w:val="Compact"/>
            </w:pPr>
            <w:r>
              <w:t xml:space="preserve">14–15</w:t>
            </w:r>
          </w:p>
        </w:tc>
        <w:tc>
          <w:tcPr/>
          <w:p>
            <w:pPr>
              <w:pStyle w:val="Compact"/>
            </w:pPr>
            <w:r>
              <w:t xml:space="preserve">The Record: Names Named — Accountability Specified</w:t>
            </w:r>
          </w:p>
        </w:tc>
      </w:tr>
      <w:tr>
        <w:tc>
          <w:tcPr/>
          <w:p>
            <w:pPr>
              <w:pStyle w:val="Compact"/>
            </w:pPr>
            <w:r>
              <w:t xml:space="preserve">5</w:t>
            </w:r>
          </w:p>
        </w:tc>
        <w:tc>
          <w:tcPr/>
          <w:p>
            <w:pPr>
              <w:pStyle w:val="Compact"/>
            </w:pPr>
            <w:r>
              <w:t xml:space="preserve">16–18</w:t>
            </w:r>
          </w:p>
        </w:tc>
        <w:tc>
          <w:tcPr/>
          <w:p>
            <w:pPr>
              <w:pStyle w:val="Compact"/>
            </w:pPr>
            <w:r>
              <w:t xml:space="preserve">The Command: Treat Midian as the Enemy She Is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covenant faithfulness collapses at the border of the promised land, and God honors the one who acts with His own zeal.</w:t>
      </w:r>
    </w:p>
    <w:p>
      <w:pPr>
        <w:pStyle w:val="BodyText"/>
      </w:pPr>
      <w:r>
        <w:rPr>
          <w:b/>
          <w:bCs/>
        </w:rPr>
        <w:t xml:space="preserve">Primary Claim:</w:t>
      </w:r>
      <w:r>
        <w:t xml:space="preserve"> </w:t>
      </w:r>
      <w:r>
        <w:t xml:space="preserve">When God’s people are seduced into idolatry and stand paralyzed at the threshold of what He has promised them, God calls for — and honors — the zeal that takes His holiness seriously enough to act at personal cost.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where you have been</w:t>
      </w:r>
      <w:r>
        <w:rPr>
          <w:b/>
          <w:bCs/>
        </w:rPr>
        <w:t xml:space="preserve"> </w:t>
      </w:r>
      <w:r>
        <w:rPr>
          <w:b/>
          <w:bCs/>
        </w:rPr>
        <w:t xml:space="preserve">“yoked”</w:t>
      </w:r>
      <w:r>
        <w:rPr>
          <w:b/>
          <w:bCs/>
        </w:rPr>
        <w:t xml:space="preserve"> </w:t>
      </w:r>
      <w:r>
        <w:rPr>
          <w:b/>
          <w:bCs/>
        </w:rPr>
        <w:t xml:space="preserve">rather than merely tempted.</w:t>
      </w:r>
      <w:r>
        <w:t xml:space="preserve"> </w:t>
      </w:r>
      <w:r>
        <w:rPr>
          <w:i/>
          <w:iCs/>
        </w:rPr>
        <w:t xml:space="preserve">(Mind/Belief)</w:t>
      </w:r>
      <w:r>
        <w:t xml:space="preserve"> </w:t>
      </w:r>
      <w:r>
        <w:t xml:space="preserve">The text does not describe Israel as simply sinning and repenting — it describes them as</w:t>
      </w:r>
      <w:r>
        <w:t xml:space="preserve"> </w:t>
      </w:r>
      <w:r>
        <w:rPr>
          <w:i/>
          <w:iCs/>
        </w:rPr>
        <w:t xml:space="preserve">yoked</w:t>
      </w:r>
      <w:r>
        <w:t xml:space="preserve"> </w:t>
      </w:r>
      <w:r>
        <w:t xml:space="preserve">to Baal, bound by a covenant-like attachment to a false god. The passage demands that the reader distinguish between temptation, which every believer faces, and yoking, which describes a settled, habitual entanglement with something that competes with the living God for functional allegiance. The question is not only</w:t>
      </w:r>
      <w:r>
        <w:t xml:space="preserve"> </w:t>
      </w:r>
      <w:r>
        <w:t xml:space="preserve">“have I sinned in this area?”</w:t>
      </w:r>
      <w:r>
        <w:t xml:space="preserve"> </w:t>
      </w:r>
      <w:r>
        <w:t xml:space="preserve">but</w:t>
      </w:r>
      <w:r>
        <w:t xml:space="preserve"> </w:t>
      </w:r>
      <w:r>
        <w:t xml:space="preserve">“has this become a rival lord?”</w:t>
      </w:r>
      <w:r>
        <w:t xml:space="preserve"> </w:t>
      </w:r>
      <w:r>
        <w:t xml:space="preserve">Identify specifically — not generally — what in your life currently functions as a Baal: the financial security system you will not disturb, the relational approval you cannot live without, the comfort structure you will not allow God to touch.</w:t>
      </w:r>
    </w:p>
    <w:p>
      <w:pPr>
        <w:pStyle w:val="BodyText"/>
      </w:pPr>
      <w:r>
        <w:rPr>
          <w:b/>
          <w:bCs/>
        </w:rPr>
        <w:t xml:space="preserve">2. Grieve what the church grieves — and then move.</w:t>
      </w:r>
      <w:r>
        <w:t xml:space="preserve"> </w:t>
      </w:r>
      <w:r>
        <w:rPr>
          <w:i/>
          <w:iCs/>
        </w:rPr>
        <w:t xml:space="preserve">(Affections/Worship)</w:t>
      </w:r>
      <w:r>
        <w:t xml:space="preserve"> </w:t>
      </w:r>
      <w:r>
        <w:t xml:space="preserve">The congregation was weeping at the tent of meeting (v. 6) while Zimri walked past them brazenly. The grief was real — but it was paralyzed. Phinehas’s zeal is not contrasted with indifference but with paralyzed sorrow. The passage confronts those who have learned to feel rightly about spiritual compromise without ever acting on that feeling. There is a form of piety that substitutes emotional response for costly action — grief that is liturgically appropriate but never operationalized. Ask honestly: where does your grief for God’s honor stop at the door of inconvenience?</w:t>
      </w:r>
    </w:p>
    <w:p>
      <w:pPr>
        <w:pStyle w:val="BodyText"/>
      </w:pPr>
      <w:r>
        <w:rPr>
          <w:b/>
          <w:bCs/>
        </w:rPr>
        <w:t xml:space="preserve">3. Recognize that the seduction pattern of Peor is still the primary strategy against the church.</w:t>
      </w:r>
      <w:r>
        <w:t xml:space="preserve"> </w:t>
      </w:r>
      <w:r>
        <w:rPr>
          <w:i/>
          <w:iCs/>
        </w:rPr>
        <w:t xml:space="preserve">(Mind/Belief)</w:t>
      </w:r>
      <w:r>
        <w:t xml:space="preserve"> </w:t>
      </w:r>
      <w:r>
        <w:t xml:space="preserve">Paul in 1 Corinthians 10 and Christ in Revelation 2 both explicitly invoke the Peor pattern as a live danger to the New Covenant community. The strategy is not frontal attack but seduction — social invitation, shared meals, incremental participation in what is framed as culturally neutral but is covenantally corrosive. The church in every generation has been most vulnerable not when it was persecuted but when it was invited. Identify where the church you belong to is currently receiving invitations from the surrounding culture that carry the same structural logic as</w:t>
      </w:r>
      <w:r>
        <w:t xml:space="preserve"> </w:t>
      </w:r>
      <w:r>
        <w:t xml:space="preserve">“come to our sacrifices.”</w:t>
      </w:r>
    </w:p>
    <w:p>
      <w:pPr>
        <w:pStyle w:val="BodyText"/>
      </w:pPr>
      <w:r>
        <w:rPr>
          <w:b/>
          <w:bCs/>
        </w:rPr>
        <w:t xml:space="preserve">4. Bring specific sins under specific accountability — refuse the protection of anonymity.</w:t>
      </w:r>
      <w:r>
        <w:t xml:space="preserve"> </w:t>
      </w:r>
      <w:r>
        <w:rPr>
          <w:i/>
          <w:iCs/>
        </w:rPr>
        <w:t xml:space="preserve">(Will/Behavior)</w:t>
      </w:r>
      <w:r>
        <w:t xml:space="preserve"> </w:t>
      </w:r>
      <w:r>
        <w:t xml:space="preserve">The text names Zimri and Cozbi (vv. 14–15). The naming is not incidental cruelty — it is covenantal accountability. Sin that is kept general and anonymous remains protected. The application is direct: bring a specific named sin, not a category of struggle, into a specific accountable relationship with a specific named person in your church community. Not</w:t>
      </w:r>
      <w:r>
        <w:t xml:space="preserve"> </w:t>
      </w:r>
      <w:r>
        <w:t xml:space="preserve">“I struggle with lust”</w:t>
      </w:r>
      <w:r>
        <w:t xml:space="preserve"> </w:t>
      </w:r>
      <w:r>
        <w:t xml:space="preserve">— but the specific form, the specific context, the specific entanglement that needs to be addressed with the specificity Phinehas brought to bear.</w:t>
      </w:r>
    </w:p>
    <w:p>
      <w:pPr>
        <w:pStyle w:val="BodyText"/>
      </w:pPr>
      <w:r>
        <w:rPr>
          <w:b/>
          <w:bCs/>
        </w:rPr>
        <w:t xml:space="preserve">5. Worship the God whose jealousy is for your life, not your subjugation.</w:t>
      </w:r>
      <w:r>
        <w:t xml:space="preserve"> </w:t>
      </w:r>
      <w:r>
        <w:rPr>
          <w:i/>
          <w:iCs/>
        </w:rPr>
        <w:t xml:space="preserve">(Affections/Worship)</w:t>
      </w:r>
      <w:r>
        <w:t xml:space="preserve"> </w:t>
      </w:r>
      <w:r>
        <w:t xml:space="preserve">The covenant of peace granted to Phinehas (v. 12) and the plague’s cessation (v. 8) reveal that God’s jealousy is not tyrannical possessiveness — it is the jealousy of a covenant Lord who knows that yieldedness to Baal is death and faithfulness to Him is life (cf. Deuteronomy 4:4). The God who demands exclusive allegiance does so because He alone can give what the false gods promise. Let the death toll of this chapter — 24,000 — register not as the record of a harsh God but as the evidence of how much idolatry costs the people He loves. Worship the God who jealously guards your life by refusing your idolatries.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25 establishes the irreducible seriousness of God’s covenant exclusivity — His jealousy (</w:t>
      </w:r>
      <w:r>
        <w:rPr>
          <w:i/>
          <w:iCs/>
        </w:rPr>
        <w:t xml:space="preserve">qin’ah</w:t>
      </w:r>
      <w:r>
        <w:t xml:space="preserve">) is not a divine personality defect but the expression of His love for the people whose only life is in Him. The passage demonstrates that idolatry is never a merely religious category error — it is a lethal covenantal rupture that produces death (24,000 dead), requires atonement (Phinehas’s atoning act), and can only be addressed by a decisive intervention that costs the intervener something. God’s endorsement of Phinehas reveals that He is not seeking institutional compliance but covenantal zeal — a heart that is jealous for what He is jealous for. The covenant of peace granted to Phinehas in perpetuity (v. 13) also establishes a priestly-mediatorial pattern: the one who acts with God’s own jealousy, at personal cost, and makes atonement thereby, receives not punishment but an enduring covenant of shalom.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25 functions within the Reformed framework as a paradigmatic display of the doctrine of divine jealousy and its covenantal logic — God’s exclusive claim on His people is the claim of the covenant Lord who is Himself their only good. The Reformed tradition’s insistence that true worship is regulated by God’s own commands (the Regulative Principle) finds its narrative grounding in passages exactly like this: Israel’s disaster comes precisely from supplementing covenant worship with surrounding religious practice, invited step by step. The Phinehas narrative also carries significant redemptive-historical freight: as Psalm 106:31 links his act to imputed righteousness, and as the New Testament’s Phinehas typology points to Christ (whose zeal for the Father’s house consumed Him and whose priestly act turned away the wrath that would have consumed His people), the passage becomes a window into the atonement itself — the one who acts with God’s own jealousy, at mortal cost, makes atonement and receives an eternal covenant of peace. The believer’s application is not to replicate Phinehas’s act but to live within the peace secured by the one his act typologically anticipated, and to exercise the covenantal zeal that flows from that security.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jealousy is not His worst quality — it is His love for your life expressed at full intensity. Every Baal Israel yoked itself to was a death, and the God who violently interrupted those yokes was doing so because He alone is life. You are standing at your own Shittim right now — some invitation has been extended, some incremental participation has begun, some yoking is forming. The question this chapter presses is not whether you feel badly about it but whether you have the Phinehas-like resolve to act on what you know, at cost, before the plague does what plagues do.</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Phinehas into a general hero of decisiveness.</w:t>
      </w:r>
      <w:r>
        <w:t xml:space="preserve"> </w:t>
      </w:r>
      <w:r>
        <w:t xml:space="preserve">The most common mishandling of this passage is to treat Phinehas as a role model for bold action in any domain —</w:t>
      </w:r>
      <w:r>
        <w:t xml:space="preserve"> </w:t>
      </w:r>
      <w:r>
        <w:t xml:space="preserve">“be like Phinehas, take a stand”</w:t>
      </w:r>
      <w:r>
        <w:t xml:space="preserve"> </w:t>
      </w:r>
      <w:r>
        <w:t xml:space="preserve">— detached from his specific covenantal, priestly, theocratic context. This reduces a complex redemptive-historical figure to a motivational illustration. The passage’s force is far sharper and more specific: Phinehas acted with</w:t>
      </w:r>
      <w:r>
        <w:t xml:space="preserve"> </w:t>
      </w:r>
      <w:r>
        <w:rPr>
          <w:i/>
          <w:iCs/>
        </w:rPr>
        <w:t xml:space="preserve">God’s own jealousy</w:t>
      </w:r>
      <w:r>
        <w:t xml:space="preserve"> </w:t>
      </w:r>
      <w:r>
        <w:t xml:space="preserve">in a theocratic context where God’s judicial wrath was already operationally present. The application is not literal imitation but covenantal zeal in its appropriate New Covenant forms. Preach the typology, not the hero.</w:t>
      </w:r>
    </w:p>
    <w:p>
      <w:pPr>
        <w:numPr>
          <w:ilvl w:val="0"/>
          <w:numId w:val="1002"/>
        </w:numPr>
      </w:pPr>
      <w:r>
        <w:rPr>
          <w:b/>
          <w:bCs/>
        </w:rPr>
        <w:t xml:space="preserve">Sanitizing the violence by spiritualizing it too quickly.</w:t>
      </w:r>
      <w:r>
        <w:t xml:space="preserve"> </w:t>
      </w:r>
      <w:r>
        <w:t xml:space="preserve">The opposite error: discomfort with the killing leads the expositor to rush past it into metaphor (</w:t>
      </w:r>
      <w:r>
        <w:t xml:space="preserve">“we must drive a spear through our sin”</w:t>
      </w:r>
      <w:r>
        <w:t xml:space="preserve">). This avoids the passage’s actual claim. The violence is not incidental — the fact that a physical act of judgment stopped a plague is the text’s way of establishing that God’s jealousy is not merely emotional but executive, covenantally decisive, and that it requires a mediatorial act. Do not flee the difficult surface; work through it to the theological claim beneath.</w:t>
      </w:r>
    </w:p>
    <w:p>
      <w:pPr>
        <w:numPr>
          <w:ilvl w:val="0"/>
          <w:numId w:val="1002"/>
        </w:numPr>
      </w:pPr>
      <w:r>
        <w:rPr>
          <w:b/>
          <w:bCs/>
        </w:rPr>
        <w:t xml:space="preserve">Missing the escalation structure of vv. 6–9 and its rhetorical force.</w:t>
      </w:r>
      <w:r>
        <w:t xml:space="preserve"> </w:t>
      </w:r>
      <w:r>
        <w:t xml:space="preserve">The brazenness of Zimri’s act — walking past Moses, past the weeping congregation, past the tent of meeting — is designed to produce outrage in the reader. It is not incidental narrative detail; it is the passage establishing the stakes. Expositors who summarize the incident without dwelling on its provocative character miss the emotional and theological function of the escalation: it forces the reader to ask whether their own response to public covenant-breaking is grief-that-acts or grief-that-sits.</w:t>
      </w:r>
    </w:p>
    <w:p>
      <w:pPr>
        <w:numPr>
          <w:ilvl w:val="0"/>
          <w:numId w:val="1002"/>
        </w:numPr>
      </w:pPr>
      <w:r>
        <w:rPr>
          <w:b/>
          <w:bCs/>
        </w:rPr>
        <w:t xml:space="preserve">Failing to connect to the New Testament use of the passage.</w:t>
      </w:r>
      <w:r>
        <w:t xml:space="preserve"> </w:t>
      </w:r>
      <w:r>
        <w:t xml:space="preserve">1 Corinthians 10:6–8 and Revelation 2:14 both explicitly invoke Peor as a live danger for the New Covenant church. An exposition of Numbers 25 that does not surface these connections leaves the congregation with the impression that this is an Old Testament historical curiosity rather than a paradigm that the apostles and Christ himself applied directly to the church. The canonical linkage is not optional — it is part of the passage’s full homiletical force.</w:t>
      </w:r>
    </w:p>
    <w:p>
      <w:pPr>
        <w:numPr>
          <w:ilvl w:val="0"/>
          <w:numId w:val="1002"/>
        </w:numPr>
      </w:pPr>
      <w:r>
        <w:rPr>
          <w:b/>
          <w:bCs/>
        </w:rPr>
        <w:t xml:space="preserve">Treating the covenant of peace as purely individual reward rather than priestly-typological.</w:t>
      </w:r>
      <w:r>
        <w:t xml:space="preserve"> </w:t>
      </w:r>
      <w:r>
        <w:t xml:space="preserve">The covenant with Phinehas in vv. 12–13 is sometimes preached as a simple reward for obedience —</w:t>
      </w:r>
      <w:r>
        <w:t xml:space="preserve"> </w:t>
      </w:r>
      <w:r>
        <w:t xml:space="preserve">“God will bless you when you are faithful.”</w:t>
      </w:r>
      <w:r>
        <w:t xml:space="preserve"> </w:t>
      </w:r>
      <w:r>
        <w:t xml:space="preserve">This domesticates a significant covenantal and typological passage. The covenant of peace is a priestly covenant with eschatological resonance; Phinehas’s act is an atoning act (</w:t>
      </w:r>
      <w:r>
        <w:rPr>
          <w:i/>
          <w:iCs/>
        </w:rPr>
        <w:t xml:space="preserve">kāpar</w:t>
      </w:r>
      <w:r>
        <w:t xml:space="preserve">, v. 13) that mediates between God’s wrath and the people. Preach it as the typological pointer it is — and let the congregation see what it anticipates.</w:t>
      </w:r>
    </w:p>
    <w:p>
      <w:pPr>
        <w:numPr>
          <w:ilvl w:val="0"/>
          <w:numId w:val="1002"/>
        </w:numPr>
      </w:pPr>
      <w:r>
        <w:rPr>
          <w:b/>
          <w:bCs/>
        </w:rPr>
        <w:t xml:space="preserve">Leaving the Fallen Condition Focus (Chapell) unaddressed.</w:t>
      </w:r>
      <w:r>
        <w:t xml:space="preserve"> </w:t>
      </w:r>
      <w:r>
        <w:t xml:space="preserve">The universal human condition this passage addresses is the condition of standing at the threshold of what God has promised while being seduced by what the surrounding world offers. This is not merely an Israelite problem — it is the condition of every believer in every generation who has received God’s promises and now lives at the border of their fulfillment, perpetually invited to yoking by the cultural Moabs and Midianites around them. Name that condition explicitly. Do not let the congregation hear</w:t>
      </w:r>
      <w:r>
        <w:t xml:space="preserve"> </w:t>
      </w:r>
      <w:r>
        <w:t xml:space="preserve">“Israel failed at Shittim”</w:t>
      </w:r>
      <w:r>
        <w:t xml:space="preserve"> </w:t>
      </w:r>
      <w:r>
        <w:t xml:space="preserve">without hearing</w:t>
      </w:r>
      <w:r>
        <w:t xml:space="preserve"> </w:t>
      </w:r>
      <w:r>
        <w:t xml:space="preserve">“and you are at Shittim right now.”</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2026-07-14T21:01:55Z</dcterms:created>
  <dcterms:modified xsi:type="dcterms:W3CDTF">2026-07-14T21:01:55Z</dcterms:modified>
</cp:coreProperties>
</file>

<file path=docProps/custom.xml><?xml version="1.0" encoding="utf-8"?>
<Properties xmlns="http://schemas.openxmlformats.org/officeDocument/2006/custom-properties" xmlns:vt="http://schemas.openxmlformats.org/officeDocument/2006/docPropsVTypes"/>
</file>